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A0A5" w14:textId="036A320A" w:rsidR="0020417A" w:rsidRPr="0020417A" w:rsidRDefault="0020417A" w:rsidP="0020417A">
      <w:pPr>
        <w:rPr>
          <w:b/>
          <w:bCs/>
        </w:rPr>
      </w:pPr>
      <w:r w:rsidRPr="0020417A">
        <w:rPr>
          <w:b/>
          <w:bCs/>
        </w:rPr>
        <w:t>Appointment of Carbon Consultant</w:t>
      </w:r>
      <w:r>
        <w:rPr>
          <w:b/>
          <w:bCs/>
        </w:rPr>
        <w:t xml:space="preserve">                                     Date 02.03.2026</w:t>
      </w:r>
    </w:p>
    <w:p w14:paraId="2EE2A432" w14:textId="77777777" w:rsidR="0020417A" w:rsidRPr="0020417A" w:rsidRDefault="0020417A" w:rsidP="0020417A">
      <w:pPr>
        <w:rPr>
          <w:b/>
          <w:bCs/>
        </w:rPr>
      </w:pPr>
      <w:r w:rsidRPr="0020417A">
        <w:rPr>
          <w:b/>
          <w:bCs/>
        </w:rPr>
        <w:t xml:space="preserve">Under the </w:t>
      </w:r>
      <w:r w:rsidRPr="0020417A">
        <w:rPr>
          <w:b/>
          <w:bCs/>
          <w:i/>
          <w:iCs/>
        </w:rPr>
        <w:t>Diligence Development Fund (DDF) Project</w:t>
      </w:r>
      <w:r w:rsidRPr="0020417A">
        <w:rPr>
          <w:b/>
          <w:bCs/>
        </w:rPr>
        <w:t xml:space="preserve"> supported by GIZ</w:t>
      </w:r>
    </w:p>
    <w:p w14:paraId="47C1EC3A" w14:textId="77777777" w:rsidR="0020417A" w:rsidRPr="0020417A" w:rsidRDefault="0020417A" w:rsidP="0020417A">
      <w:r w:rsidRPr="0020417A">
        <w:t xml:space="preserve">bioRe Association, Kasrawad, Madhya Pradesh, India, is implementing a </w:t>
      </w:r>
      <w:r w:rsidRPr="0020417A">
        <w:rPr>
          <w:b/>
          <w:bCs/>
        </w:rPr>
        <w:t>Biochar-based Diligence Development Fund (DDF) Project</w:t>
      </w:r>
      <w:r w:rsidRPr="0020417A">
        <w:t xml:space="preserve"> supported by GIZ.</w:t>
      </w:r>
    </w:p>
    <w:p w14:paraId="759053A5" w14:textId="77777777" w:rsidR="0020417A" w:rsidRPr="0020417A" w:rsidRDefault="0020417A" w:rsidP="0020417A">
      <w:r w:rsidRPr="0020417A">
        <w:t xml:space="preserve">bioRe Association invites applications from qualified </w:t>
      </w:r>
      <w:r w:rsidRPr="0020417A">
        <w:rPr>
          <w:b/>
          <w:bCs/>
        </w:rPr>
        <w:t>Technical Consultants (individuals or organizations)</w:t>
      </w:r>
      <w:r w:rsidRPr="0020417A">
        <w:t xml:space="preserve"> with demonstrated experience in </w:t>
      </w:r>
      <w:r w:rsidRPr="0020417A">
        <w:rPr>
          <w:b/>
          <w:bCs/>
        </w:rPr>
        <w:t>biochar and carbon projects</w:t>
      </w:r>
      <w:r w:rsidRPr="0020417A">
        <w:t>.</w:t>
      </w:r>
    </w:p>
    <w:p w14:paraId="580F903A" w14:textId="27660219" w:rsidR="0020417A" w:rsidRPr="0020417A" w:rsidRDefault="0020417A" w:rsidP="0020417A">
      <w:pPr>
        <w:rPr>
          <w:b/>
          <w:bCs/>
        </w:rPr>
      </w:pPr>
      <w:r w:rsidRPr="0020417A">
        <w:rPr>
          <w:b/>
          <w:bCs/>
        </w:rPr>
        <w:t xml:space="preserve"> Scope of Work</w:t>
      </w:r>
    </w:p>
    <w:p w14:paraId="681CE89E" w14:textId="77777777" w:rsidR="0020417A" w:rsidRPr="0020417A" w:rsidRDefault="0020417A" w:rsidP="0020417A">
      <w:r w:rsidRPr="0020417A">
        <w:t xml:space="preserve">The selected consultant will support the project between </w:t>
      </w:r>
      <w:r w:rsidRPr="0020417A">
        <w:rPr>
          <w:b/>
          <w:bCs/>
        </w:rPr>
        <w:t>April 2026 – March 2027</w:t>
      </w:r>
      <w:r w:rsidRPr="0020417A">
        <w:t>.</w:t>
      </w:r>
    </w:p>
    <w:p w14:paraId="174724CF" w14:textId="77777777" w:rsidR="0020417A" w:rsidRPr="0020417A" w:rsidRDefault="0020417A" w:rsidP="0020417A">
      <w:pPr>
        <w:rPr>
          <w:b/>
          <w:bCs/>
        </w:rPr>
      </w:pPr>
      <w:r w:rsidRPr="0020417A">
        <w:rPr>
          <w:rFonts w:ascii="Segoe UI Emoji" w:hAnsi="Segoe UI Emoji" w:cs="Segoe UI Emoji"/>
          <w:b/>
          <w:bCs/>
        </w:rPr>
        <w:t>🔹</w:t>
      </w:r>
      <w:r w:rsidRPr="0020417A">
        <w:rPr>
          <w:b/>
          <w:bCs/>
        </w:rPr>
        <w:t xml:space="preserve"> Deliverable 1: High-Level Carbon Standards Assessment</w:t>
      </w:r>
    </w:p>
    <w:p w14:paraId="1F5BDF42" w14:textId="511C045E" w:rsidR="0020417A" w:rsidRDefault="0020417A" w:rsidP="0020417A">
      <w:r w:rsidRPr="0020417A">
        <w:rPr>
          <w:b/>
          <w:bCs/>
        </w:rPr>
        <w:t>Timeline:</w:t>
      </w:r>
      <w:r w:rsidRPr="0020417A">
        <w:t xml:space="preserve"> </w:t>
      </w:r>
      <w:r>
        <w:t xml:space="preserve"> Dec</w:t>
      </w:r>
      <w:r w:rsidRPr="0020417A">
        <w:t xml:space="preserve"> 2026</w:t>
      </w:r>
    </w:p>
    <w:p w14:paraId="4EBEB334" w14:textId="572CD145" w:rsidR="0020417A" w:rsidRPr="0020417A" w:rsidRDefault="0020417A" w:rsidP="0020417A">
      <w:pPr>
        <w:spacing w:after="0" w:line="240" w:lineRule="auto"/>
      </w:pPr>
      <w:r>
        <w:t>Output: Report/Presentation</w:t>
      </w:r>
    </w:p>
    <w:p w14:paraId="2290BA73" w14:textId="77777777" w:rsidR="0020417A" w:rsidRPr="0020417A" w:rsidRDefault="0020417A" w:rsidP="0020417A">
      <w:pPr>
        <w:spacing w:after="0" w:line="240" w:lineRule="auto"/>
      </w:pPr>
      <w:r w:rsidRPr="0020417A">
        <w:t>The consultant (</w:t>
      </w:r>
      <w:proofErr w:type="spellStart"/>
      <w:r w:rsidRPr="0020417A">
        <w:t>ClimateRe</w:t>
      </w:r>
      <w:proofErr w:type="spellEnd"/>
      <w:r w:rsidRPr="0020417A">
        <w:t xml:space="preserve"> or equivalent expert entity) will conduct a high-level assessment covering:</w:t>
      </w:r>
    </w:p>
    <w:p w14:paraId="254D8E98" w14:textId="77777777" w:rsidR="0020417A" w:rsidRPr="0020417A" w:rsidRDefault="0020417A" w:rsidP="0020417A">
      <w:pPr>
        <w:numPr>
          <w:ilvl w:val="0"/>
          <w:numId w:val="6"/>
        </w:numPr>
        <w:spacing w:after="0" w:line="240" w:lineRule="auto"/>
      </w:pPr>
      <w:r w:rsidRPr="0020417A">
        <w:t xml:space="preserve">Overview of relevant </w:t>
      </w:r>
      <w:r w:rsidRPr="0020417A">
        <w:rPr>
          <w:b/>
          <w:bCs/>
        </w:rPr>
        <w:t>biochar carbon standards</w:t>
      </w:r>
    </w:p>
    <w:p w14:paraId="2B641544" w14:textId="77777777" w:rsidR="0020417A" w:rsidRPr="0020417A" w:rsidRDefault="0020417A" w:rsidP="0020417A">
      <w:pPr>
        <w:numPr>
          <w:ilvl w:val="0"/>
          <w:numId w:val="6"/>
        </w:numPr>
        <w:spacing w:after="0" w:line="240" w:lineRule="auto"/>
      </w:pPr>
      <w:r w:rsidRPr="0020417A">
        <w:t>Applicability of these standards to:</w:t>
      </w:r>
    </w:p>
    <w:p w14:paraId="3990A673" w14:textId="77777777" w:rsidR="0020417A" w:rsidRPr="0020417A" w:rsidRDefault="0020417A" w:rsidP="0020417A">
      <w:pPr>
        <w:numPr>
          <w:ilvl w:val="1"/>
          <w:numId w:val="6"/>
        </w:numPr>
        <w:spacing w:after="0" w:line="240" w:lineRule="auto"/>
      </w:pPr>
      <w:r w:rsidRPr="0020417A">
        <w:t>Smallholder, decentralized biochar systems (with reference to Remei India and Remei Tanzania)</w:t>
      </w:r>
    </w:p>
    <w:p w14:paraId="7D4E4DF5" w14:textId="77777777" w:rsidR="0020417A" w:rsidRPr="0020417A" w:rsidRDefault="0020417A" w:rsidP="0020417A">
      <w:pPr>
        <w:numPr>
          <w:ilvl w:val="1"/>
          <w:numId w:val="6"/>
        </w:numPr>
        <w:spacing w:after="0" w:line="240" w:lineRule="auto"/>
      </w:pPr>
      <w:r w:rsidRPr="0020417A">
        <w:t>Farmer group-based registration models</w:t>
      </w:r>
    </w:p>
    <w:p w14:paraId="4011BB72" w14:textId="77777777" w:rsidR="0020417A" w:rsidRPr="0020417A" w:rsidRDefault="0020417A" w:rsidP="0020417A">
      <w:pPr>
        <w:numPr>
          <w:ilvl w:val="1"/>
          <w:numId w:val="6"/>
        </w:numPr>
        <w:spacing w:after="0" w:line="240" w:lineRule="auto"/>
      </w:pPr>
      <w:r w:rsidRPr="0020417A">
        <w:t>Individual farmer-based carbon registration models</w:t>
      </w:r>
    </w:p>
    <w:p w14:paraId="0350DF9B" w14:textId="77777777" w:rsidR="0020417A" w:rsidRPr="0020417A" w:rsidRDefault="0020417A" w:rsidP="0020417A">
      <w:pPr>
        <w:numPr>
          <w:ilvl w:val="0"/>
          <w:numId w:val="6"/>
        </w:numPr>
        <w:spacing w:after="0" w:line="240" w:lineRule="auto"/>
      </w:pPr>
      <w:r w:rsidRPr="0020417A">
        <w:t>Assessment of potential adaptation/replication in other geographies, including Tanzania</w:t>
      </w:r>
    </w:p>
    <w:p w14:paraId="509EF2F5" w14:textId="77777777" w:rsidR="0020417A" w:rsidRPr="0020417A" w:rsidRDefault="0020417A" w:rsidP="0020417A">
      <w:pPr>
        <w:numPr>
          <w:ilvl w:val="0"/>
          <w:numId w:val="6"/>
        </w:numPr>
        <w:spacing w:after="0" w:line="240" w:lineRule="auto"/>
      </w:pPr>
      <w:r w:rsidRPr="0020417A">
        <w:t>Identification of key assumptions and replication conditions</w:t>
      </w:r>
    </w:p>
    <w:p w14:paraId="7CDB7CF1" w14:textId="77777777" w:rsidR="0020417A" w:rsidRPr="0020417A" w:rsidRDefault="0020417A" w:rsidP="0020417A">
      <w:pPr>
        <w:numPr>
          <w:ilvl w:val="0"/>
          <w:numId w:val="6"/>
        </w:numPr>
        <w:spacing w:after="0" w:line="240" w:lineRule="auto"/>
      </w:pPr>
      <w:r w:rsidRPr="0020417A">
        <w:t>Technical requirements including:</w:t>
      </w:r>
    </w:p>
    <w:p w14:paraId="0B551587" w14:textId="77777777" w:rsidR="0020417A" w:rsidRPr="0020417A" w:rsidRDefault="0020417A" w:rsidP="0020417A">
      <w:pPr>
        <w:numPr>
          <w:ilvl w:val="1"/>
          <w:numId w:val="6"/>
        </w:numPr>
        <w:spacing w:after="0" w:line="240" w:lineRule="auto"/>
      </w:pPr>
      <w:r w:rsidRPr="0020417A">
        <w:t>Feedstock eligibility</w:t>
      </w:r>
    </w:p>
    <w:p w14:paraId="5A2785C7" w14:textId="77777777" w:rsidR="0020417A" w:rsidRPr="0020417A" w:rsidRDefault="0020417A" w:rsidP="0020417A">
      <w:pPr>
        <w:numPr>
          <w:ilvl w:val="1"/>
          <w:numId w:val="6"/>
        </w:numPr>
        <w:spacing w:after="0" w:line="240" w:lineRule="auto"/>
      </w:pPr>
      <w:r w:rsidRPr="0020417A">
        <w:t>Monitoring systems</w:t>
      </w:r>
    </w:p>
    <w:p w14:paraId="394403CD" w14:textId="77777777" w:rsidR="0020417A" w:rsidRPr="0020417A" w:rsidRDefault="0020417A" w:rsidP="0020417A">
      <w:pPr>
        <w:numPr>
          <w:ilvl w:val="1"/>
          <w:numId w:val="6"/>
        </w:numPr>
        <w:spacing w:after="0" w:line="240" w:lineRule="auto"/>
      </w:pPr>
      <w:r w:rsidRPr="0020417A">
        <w:t>Permanence and leakage considerations</w:t>
      </w:r>
    </w:p>
    <w:p w14:paraId="5AF136D6" w14:textId="50FAC975" w:rsidR="0020417A" w:rsidRPr="0020417A" w:rsidRDefault="0020417A" w:rsidP="0020417A">
      <w:pPr>
        <w:rPr>
          <w:b/>
          <w:bCs/>
        </w:rPr>
      </w:pPr>
      <w:r w:rsidRPr="0020417A">
        <w:rPr>
          <w:b/>
          <w:bCs/>
        </w:rPr>
        <w:t xml:space="preserve"> Deliverable 2: Farmer-Friendly Carbon Pathway Design</w:t>
      </w:r>
    </w:p>
    <w:p w14:paraId="72D19F4F" w14:textId="1716A423" w:rsidR="0020417A" w:rsidRPr="0020417A" w:rsidRDefault="0020417A" w:rsidP="0020417A">
      <w:r w:rsidRPr="0020417A">
        <w:rPr>
          <w:b/>
          <w:bCs/>
        </w:rPr>
        <w:t>Output:</w:t>
      </w:r>
      <w:r w:rsidRPr="0020417A">
        <w:t xml:space="preserve"> Written Report </w:t>
      </w:r>
      <w:r w:rsidRPr="0020417A">
        <w:br/>
      </w:r>
      <w:r w:rsidRPr="0020417A">
        <w:rPr>
          <w:b/>
          <w:bCs/>
        </w:rPr>
        <w:t>Timeline:</w:t>
      </w:r>
      <w:r w:rsidRPr="0020417A">
        <w:t xml:space="preserve"> December 2026</w:t>
      </w:r>
    </w:p>
    <w:p w14:paraId="6ED990C2" w14:textId="77777777" w:rsidR="0020417A" w:rsidRPr="0020417A" w:rsidRDefault="0020417A" w:rsidP="0020417A">
      <w:pPr>
        <w:spacing w:after="0" w:line="240" w:lineRule="auto"/>
      </w:pPr>
      <w:r w:rsidRPr="0020417A">
        <w:t xml:space="preserve">Preparation of a </w:t>
      </w:r>
      <w:r w:rsidRPr="0020417A">
        <w:rPr>
          <w:b/>
          <w:bCs/>
        </w:rPr>
        <w:t>non-binding carbon pathway design document</w:t>
      </w:r>
      <w:r w:rsidRPr="0020417A">
        <w:t xml:space="preserve"> outlining:</w:t>
      </w:r>
    </w:p>
    <w:p w14:paraId="2B935472" w14:textId="77777777" w:rsidR="0020417A" w:rsidRPr="0020417A" w:rsidRDefault="0020417A" w:rsidP="0020417A">
      <w:pPr>
        <w:numPr>
          <w:ilvl w:val="0"/>
          <w:numId w:val="7"/>
        </w:numPr>
        <w:spacing w:after="0" w:line="240" w:lineRule="auto"/>
      </w:pPr>
      <w:r w:rsidRPr="0020417A">
        <w:t>Preconditions for future carbon eligibility (post-DDF)</w:t>
      </w:r>
    </w:p>
    <w:p w14:paraId="4E1B5787" w14:textId="77777777" w:rsidR="0020417A" w:rsidRPr="0020417A" w:rsidRDefault="0020417A" w:rsidP="0020417A">
      <w:pPr>
        <w:numPr>
          <w:ilvl w:val="0"/>
          <w:numId w:val="7"/>
        </w:numPr>
        <w:spacing w:after="0" w:line="240" w:lineRule="auto"/>
      </w:pPr>
      <w:r w:rsidRPr="0020417A">
        <w:t>Suitable carbon registration processes</w:t>
      </w:r>
    </w:p>
    <w:p w14:paraId="09F9C624" w14:textId="77777777" w:rsidR="0020417A" w:rsidRPr="0020417A" w:rsidRDefault="0020417A" w:rsidP="0020417A">
      <w:pPr>
        <w:numPr>
          <w:ilvl w:val="0"/>
          <w:numId w:val="7"/>
        </w:numPr>
        <w:spacing w:after="0" w:line="240" w:lineRule="auto"/>
      </w:pPr>
      <w:r w:rsidRPr="0020417A">
        <w:t>Legal structuring of carbon rights</w:t>
      </w:r>
    </w:p>
    <w:p w14:paraId="4E32FC5D" w14:textId="77777777" w:rsidR="0020417A" w:rsidRPr="0020417A" w:rsidRDefault="0020417A" w:rsidP="0020417A">
      <w:pPr>
        <w:numPr>
          <w:ilvl w:val="0"/>
          <w:numId w:val="7"/>
        </w:numPr>
        <w:spacing w:after="0" w:line="240" w:lineRule="auto"/>
      </w:pPr>
      <w:r w:rsidRPr="0020417A">
        <w:t>Engagement models with carbon buyers</w:t>
      </w:r>
    </w:p>
    <w:p w14:paraId="150858D9" w14:textId="77777777" w:rsidR="0020417A" w:rsidRPr="0020417A" w:rsidRDefault="0020417A" w:rsidP="0020417A">
      <w:pPr>
        <w:numPr>
          <w:ilvl w:val="0"/>
          <w:numId w:val="7"/>
        </w:numPr>
        <w:spacing w:after="0" w:line="240" w:lineRule="auto"/>
      </w:pPr>
      <w:r w:rsidRPr="0020417A">
        <w:t>Data, monitoring, and governance requirements</w:t>
      </w:r>
    </w:p>
    <w:p w14:paraId="7C45473C" w14:textId="77777777" w:rsidR="0020417A" w:rsidRPr="0020417A" w:rsidRDefault="0020417A" w:rsidP="0020417A">
      <w:pPr>
        <w:numPr>
          <w:ilvl w:val="0"/>
          <w:numId w:val="7"/>
        </w:numPr>
        <w:spacing w:after="0" w:line="240" w:lineRule="auto"/>
      </w:pPr>
      <w:r w:rsidRPr="0020417A">
        <w:t>Institutional roles of stakeholders</w:t>
      </w:r>
    </w:p>
    <w:p w14:paraId="08CAB0CD" w14:textId="77777777" w:rsidR="0020417A" w:rsidRPr="0020417A" w:rsidRDefault="0020417A" w:rsidP="0020417A">
      <w:pPr>
        <w:numPr>
          <w:ilvl w:val="0"/>
          <w:numId w:val="7"/>
        </w:numPr>
        <w:spacing w:after="0" w:line="240" w:lineRule="auto"/>
      </w:pPr>
      <w:r w:rsidRPr="0020417A">
        <w:t>Risk management and ethical safeguards</w:t>
      </w:r>
    </w:p>
    <w:p w14:paraId="62ED6071" w14:textId="77777777" w:rsidR="0020417A" w:rsidRPr="0020417A" w:rsidRDefault="0020417A" w:rsidP="0020417A">
      <w:pPr>
        <w:numPr>
          <w:ilvl w:val="0"/>
          <w:numId w:val="7"/>
        </w:numPr>
        <w:spacing w:after="0" w:line="240" w:lineRule="auto"/>
      </w:pPr>
      <w:r w:rsidRPr="0020417A">
        <w:lastRenderedPageBreak/>
        <w:t>Indicative timelines and cost estimates (including indicative audit costs for small-scale decentralized models)</w:t>
      </w:r>
    </w:p>
    <w:p w14:paraId="4799C331" w14:textId="77777777" w:rsidR="0020417A" w:rsidRPr="0020417A" w:rsidRDefault="0020417A" w:rsidP="0020417A">
      <w:pPr>
        <w:spacing w:after="0" w:line="240" w:lineRule="auto"/>
      </w:pPr>
      <w:r w:rsidRPr="0020417A">
        <w:t>This document will:</w:t>
      </w:r>
    </w:p>
    <w:p w14:paraId="70E1F71B" w14:textId="77777777" w:rsidR="0020417A" w:rsidRPr="0020417A" w:rsidRDefault="0020417A" w:rsidP="0020417A">
      <w:pPr>
        <w:numPr>
          <w:ilvl w:val="0"/>
          <w:numId w:val="8"/>
        </w:numPr>
        <w:spacing w:after="0" w:line="240" w:lineRule="auto"/>
      </w:pPr>
      <w:r w:rsidRPr="0020417A">
        <w:t xml:space="preserve">Serve as a </w:t>
      </w:r>
      <w:r w:rsidRPr="0020417A">
        <w:rPr>
          <w:b/>
          <w:bCs/>
        </w:rPr>
        <w:t>strategic roadmap</w:t>
      </w:r>
    </w:p>
    <w:p w14:paraId="27D1AB84" w14:textId="77777777" w:rsidR="0020417A" w:rsidRPr="0020417A" w:rsidRDefault="0020417A" w:rsidP="0020417A">
      <w:pPr>
        <w:numPr>
          <w:ilvl w:val="0"/>
          <w:numId w:val="8"/>
        </w:numPr>
        <w:spacing w:after="0" w:line="240" w:lineRule="auto"/>
      </w:pPr>
      <w:r w:rsidRPr="0020417A">
        <w:t>Avoid legal or financial obligations</w:t>
      </w:r>
    </w:p>
    <w:p w14:paraId="31AD9F3A" w14:textId="77777777" w:rsidR="0020417A" w:rsidRDefault="0020417A" w:rsidP="0020417A">
      <w:pPr>
        <w:numPr>
          <w:ilvl w:val="0"/>
          <w:numId w:val="8"/>
        </w:numPr>
        <w:spacing w:after="0" w:line="240" w:lineRule="auto"/>
      </w:pPr>
      <w:r w:rsidRPr="0020417A">
        <w:t>Support informed decision-making post-project</w:t>
      </w:r>
    </w:p>
    <w:p w14:paraId="19E619CE" w14:textId="77777777" w:rsidR="0020417A" w:rsidRPr="0020417A" w:rsidRDefault="0020417A" w:rsidP="0020417A">
      <w:pPr>
        <w:spacing w:after="0" w:line="240" w:lineRule="auto"/>
        <w:ind w:left="720"/>
      </w:pPr>
    </w:p>
    <w:p w14:paraId="71D27C3E" w14:textId="77777777" w:rsidR="0020417A" w:rsidRPr="0020417A" w:rsidRDefault="0020417A" w:rsidP="0020417A">
      <w:pPr>
        <w:rPr>
          <w:b/>
          <w:bCs/>
        </w:rPr>
      </w:pPr>
      <w:r w:rsidRPr="0020417A">
        <w:rPr>
          <w:rFonts w:ascii="Segoe UI Emoji" w:hAnsi="Segoe UI Emoji" w:cs="Segoe UI Emoji"/>
          <w:b/>
          <w:bCs/>
        </w:rPr>
        <w:t>🔹</w:t>
      </w:r>
      <w:r w:rsidRPr="0020417A">
        <w:rPr>
          <w:b/>
          <w:bCs/>
        </w:rPr>
        <w:t xml:space="preserve"> Deliverable 3: Knowledge Exchange &amp; Replication Learning</w:t>
      </w:r>
    </w:p>
    <w:p w14:paraId="32F53CCD" w14:textId="77777777" w:rsidR="0020417A" w:rsidRPr="0020417A" w:rsidRDefault="0020417A" w:rsidP="0020417A">
      <w:r w:rsidRPr="0020417A">
        <w:rPr>
          <w:b/>
          <w:bCs/>
        </w:rPr>
        <w:t>Timeline:</w:t>
      </w:r>
      <w:r w:rsidRPr="0020417A">
        <w:t xml:space="preserve"> To Be Defined</w:t>
      </w:r>
    </w:p>
    <w:p w14:paraId="052A5C11" w14:textId="77777777" w:rsidR="0020417A" w:rsidRPr="0020417A" w:rsidRDefault="0020417A" w:rsidP="0020417A">
      <w:pPr>
        <w:spacing w:after="0" w:line="240" w:lineRule="auto"/>
      </w:pPr>
      <w:r w:rsidRPr="0020417A">
        <w:t>Support facilitation of:</w:t>
      </w:r>
    </w:p>
    <w:p w14:paraId="451AB89D" w14:textId="77777777" w:rsidR="0020417A" w:rsidRPr="0020417A" w:rsidRDefault="0020417A" w:rsidP="0020417A">
      <w:pPr>
        <w:numPr>
          <w:ilvl w:val="0"/>
          <w:numId w:val="9"/>
        </w:numPr>
        <w:spacing w:after="0" w:line="240" w:lineRule="auto"/>
      </w:pPr>
      <w:r w:rsidRPr="0020417A">
        <w:t>One structured online knowledge exchange between:</w:t>
      </w:r>
    </w:p>
    <w:p w14:paraId="2D2940F8" w14:textId="77777777" w:rsidR="0020417A" w:rsidRPr="0020417A" w:rsidRDefault="0020417A" w:rsidP="0020417A">
      <w:pPr>
        <w:numPr>
          <w:ilvl w:val="1"/>
          <w:numId w:val="9"/>
        </w:numPr>
        <w:spacing w:after="0" w:line="240" w:lineRule="auto"/>
      </w:pPr>
      <w:r w:rsidRPr="0020417A">
        <w:t>Remei India</w:t>
      </w:r>
    </w:p>
    <w:p w14:paraId="22AE2D15" w14:textId="77777777" w:rsidR="0020417A" w:rsidRPr="0020417A" w:rsidRDefault="0020417A" w:rsidP="0020417A">
      <w:pPr>
        <w:numPr>
          <w:ilvl w:val="1"/>
          <w:numId w:val="9"/>
        </w:numPr>
        <w:spacing w:after="0" w:line="240" w:lineRule="auto"/>
      </w:pPr>
      <w:r w:rsidRPr="0020417A">
        <w:t>Remei Tanzania (via Remei AG)</w:t>
      </w:r>
    </w:p>
    <w:p w14:paraId="0F0440F2" w14:textId="77777777" w:rsidR="0020417A" w:rsidRPr="0020417A" w:rsidRDefault="0020417A" w:rsidP="0020417A">
      <w:pPr>
        <w:numPr>
          <w:ilvl w:val="0"/>
          <w:numId w:val="9"/>
        </w:numPr>
        <w:spacing w:after="0" w:line="240" w:lineRule="auto"/>
      </w:pPr>
      <w:r w:rsidRPr="0020417A">
        <w:t>Sharing of lessons on:</w:t>
      </w:r>
    </w:p>
    <w:p w14:paraId="313C2DE0" w14:textId="77777777" w:rsidR="0020417A" w:rsidRPr="0020417A" w:rsidRDefault="0020417A" w:rsidP="0020417A">
      <w:pPr>
        <w:numPr>
          <w:ilvl w:val="1"/>
          <w:numId w:val="9"/>
        </w:numPr>
        <w:spacing w:after="0" w:line="240" w:lineRule="auto"/>
      </w:pPr>
      <w:r w:rsidRPr="0020417A">
        <w:t>Biochar systems</w:t>
      </w:r>
    </w:p>
    <w:p w14:paraId="6CB8B96C" w14:textId="77777777" w:rsidR="0020417A" w:rsidRPr="0020417A" w:rsidRDefault="0020417A" w:rsidP="0020417A">
      <w:pPr>
        <w:numPr>
          <w:ilvl w:val="1"/>
          <w:numId w:val="9"/>
        </w:numPr>
        <w:spacing w:after="0" w:line="240" w:lineRule="auto"/>
      </w:pPr>
      <w:r w:rsidRPr="0020417A">
        <w:t>Carbon readiness</w:t>
      </w:r>
    </w:p>
    <w:p w14:paraId="05AE5647" w14:textId="77777777" w:rsidR="0020417A" w:rsidRPr="0020417A" w:rsidRDefault="0020417A" w:rsidP="0020417A">
      <w:pPr>
        <w:numPr>
          <w:ilvl w:val="1"/>
          <w:numId w:val="9"/>
        </w:numPr>
        <w:spacing w:after="0" w:line="240" w:lineRule="auto"/>
      </w:pPr>
      <w:r w:rsidRPr="0020417A">
        <w:t>Institutional design considerations</w:t>
      </w:r>
    </w:p>
    <w:p w14:paraId="4181AB38" w14:textId="5E3E5C2A" w:rsidR="0020417A" w:rsidRPr="0020417A" w:rsidRDefault="0020417A" w:rsidP="0020417A">
      <w:pPr>
        <w:rPr>
          <w:b/>
          <w:bCs/>
        </w:rPr>
      </w:pPr>
      <w:r w:rsidRPr="0020417A">
        <w:rPr>
          <w:b/>
          <w:bCs/>
        </w:rPr>
        <w:t xml:space="preserve"> Eligibility Criteria</w:t>
      </w:r>
    </w:p>
    <w:p w14:paraId="26924F3F" w14:textId="77777777" w:rsidR="0020417A" w:rsidRPr="0020417A" w:rsidRDefault="0020417A" w:rsidP="0020417A">
      <w:pPr>
        <w:spacing w:after="0" w:line="240" w:lineRule="auto"/>
      </w:pPr>
      <w:r w:rsidRPr="0020417A">
        <w:t>Applicants (individual consultants or firms) must demonstrate:</w:t>
      </w:r>
    </w:p>
    <w:p w14:paraId="55F6FDCD" w14:textId="77777777" w:rsidR="0020417A" w:rsidRPr="0020417A" w:rsidRDefault="0020417A" w:rsidP="0020417A">
      <w:pPr>
        <w:numPr>
          <w:ilvl w:val="0"/>
          <w:numId w:val="10"/>
        </w:numPr>
        <w:spacing w:after="0" w:line="240" w:lineRule="auto"/>
      </w:pPr>
      <w:r w:rsidRPr="0020417A">
        <w:t xml:space="preserve">Proven experience in </w:t>
      </w:r>
      <w:r w:rsidRPr="0020417A">
        <w:rPr>
          <w:b/>
          <w:bCs/>
        </w:rPr>
        <w:t>biochar carbon projects</w:t>
      </w:r>
    </w:p>
    <w:p w14:paraId="7F737A1C" w14:textId="77777777" w:rsidR="0020417A" w:rsidRPr="0020417A" w:rsidRDefault="0020417A" w:rsidP="0020417A">
      <w:pPr>
        <w:numPr>
          <w:ilvl w:val="0"/>
          <w:numId w:val="10"/>
        </w:numPr>
        <w:spacing w:after="0" w:line="240" w:lineRule="auto"/>
      </w:pPr>
      <w:r w:rsidRPr="0020417A">
        <w:t>Familiarity with voluntary carbon standards</w:t>
      </w:r>
    </w:p>
    <w:p w14:paraId="0C207FCF" w14:textId="77777777" w:rsidR="0020417A" w:rsidRPr="0020417A" w:rsidRDefault="0020417A" w:rsidP="0020417A">
      <w:pPr>
        <w:numPr>
          <w:ilvl w:val="0"/>
          <w:numId w:val="10"/>
        </w:numPr>
        <w:spacing w:after="0" w:line="240" w:lineRule="auto"/>
      </w:pPr>
      <w:r w:rsidRPr="0020417A">
        <w:t>Experience working with smallholder or decentralized agricultural systems</w:t>
      </w:r>
    </w:p>
    <w:p w14:paraId="55D3D096" w14:textId="77777777" w:rsidR="0020417A" w:rsidRPr="0020417A" w:rsidRDefault="0020417A" w:rsidP="0020417A">
      <w:pPr>
        <w:numPr>
          <w:ilvl w:val="0"/>
          <w:numId w:val="10"/>
        </w:numPr>
        <w:spacing w:after="0" w:line="240" w:lineRule="auto"/>
      </w:pPr>
      <w:r w:rsidRPr="0020417A">
        <w:t>Strong analytical and presentation skills</w:t>
      </w:r>
    </w:p>
    <w:p w14:paraId="39F5E0A9" w14:textId="77777777" w:rsidR="0020417A" w:rsidRPr="0020417A" w:rsidRDefault="0020417A" w:rsidP="0020417A">
      <w:pPr>
        <w:numPr>
          <w:ilvl w:val="0"/>
          <w:numId w:val="10"/>
        </w:numPr>
        <w:spacing w:after="0" w:line="240" w:lineRule="auto"/>
      </w:pPr>
      <w:r w:rsidRPr="0020417A">
        <w:t>Ability to work with multi-country institutional structures</w:t>
      </w:r>
    </w:p>
    <w:p w14:paraId="4A684FF8" w14:textId="75EF378B" w:rsidR="0020417A" w:rsidRPr="0020417A" w:rsidRDefault="0020417A" w:rsidP="0020417A">
      <w:pPr>
        <w:rPr>
          <w:b/>
          <w:bCs/>
        </w:rPr>
      </w:pPr>
      <w:r w:rsidRPr="0020417A">
        <w:rPr>
          <w:b/>
          <w:bCs/>
        </w:rPr>
        <w:t>Important Dates</w:t>
      </w:r>
    </w:p>
    <w:p w14:paraId="1ED0BF54" w14:textId="77777777" w:rsidR="0020417A" w:rsidRPr="0020417A" w:rsidRDefault="0020417A" w:rsidP="0020417A">
      <w:pPr>
        <w:numPr>
          <w:ilvl w:val="0"/>
          <w:numId w:val="11"/>
        </w:numPr>
        <w:spacing w:after="0" w:line="240" w:lineRule="auto"/>
      </w:pPr>
      <w:r w:rsidRPr="0020417A">
        <w:rPr>
          <w:b/>
          <w:bCs/>
        </w:rPr>
        <w:t>Project Duration:</w:t>
      </w:r>
      <w:r w:rsidRPr="0020417A">
        <w:t xml:space="preserve"> April 2026 – March 2027</w:t>
      </w:r>
    </w:p>
    <w:p w14:paraId="4948B203" w14:textId="77777777" w:rsidR="0020417A" w:rsidRPr="0020417A" w:rsidRDefault="0020417A" w:rsidP="0020417A">
      <w:pPr>
        <w:numPr>
          <w:ilvl w:val="0"/>
          <w:numId w:val="11"/>
        </w:numPr>
        <w:spacing w:after="0" w:line="240" w:lineRule="auto"/>
      </w:pPr>
      <w:r w:rsidRPr="0020417A">
        <w:rPr>
          <w:b/>
          <w:bCs/>
        </w:rPr>
        <w:t>Submission Deadline:</w:t>
      </w:r>
      <w:r w:rsidRPr="0020417A">
        <w:t xml:space="preserve"> 15 March 2026</w:t>
      </w:r>
    </w:p>
    <w:p w14:paraId="6B8B9CFA" w14:textId="7532C940" w:rsidR="0020417A" w:rsidRPr="0020417A" w:rsidRDefault="0020417A" w:rsidP="0020417A">
      <w:pPr>
        <w:spacing w:after="0" w:line="240" w:lineRule="auto"/>
        <w:rPr>
          <w:b/>
          <w:bCs/>
        </w:rPr>
      </w:pPr>
      <w:r w:rsidRPr="0020417A">
        <w:rPr>
          <w:b/>
          <w:bCs/>
        </w:rPr>
        <w:t xml:space="preserve"> Submission Details</w:t>
      </w:r>
    </w:p>
    <w:p w14:paraId="66120A25" w14:textId="77777777" w:rsidR="0020417A" w:rsidRPr="0020417A" w:rsidRDefault="0020417A" w:rsidP="0020417A">
      <w:pPr>
        <w:spacing w:after="0" w:line="240" w:lineRule="auto"/>
      </w:pPr>
      <w:r w:rsidRPr="0020417A">
        <w:t>Interested candidates/organizations may submit:</w:t>
      </w:r>
    </w:p>
    <w:p w14:paraId="1A1906C2" w14:textId="486C2459" w:rsidR="0020417A" w:rsidRPr="0020417A" w:rsidRDefault="0020417A" w:rsidP="0020417A">
      <w:pPr>
        <w:numPr>
          <w:ilvl w:val="0"/>
          <w:numId w:val="12"/>
        </w:numPr>
        <w:spacing w:after="0" w:line="240" w:lineRule="auto"/>
      </w:pPr>
      <w:r w:rsidRPr="0020417A">
        <w:t>Expression of Interest</w:t>
      </w:r>
      <w:r>
        <w:t xml:space="preserve"> &amp; </w:t>
      </w:r>
      <w:r w:rsidRPr="0020417A">
        <w:t>Technical proposal</w:t>
      </w:r>
      <w:r>
        <w:t xml:space="preserve"> with financial offer</w:t>
      </w:r>
    </w:p>
    <w:p w14:paraId="23F4DBFE" w14:textId="332E5AE4" w:rsidR="0020417A" w:rsidRPr="0020417A" w:rsidRDefault="0020417A" w:rsidP="0020417A">
      <w:pPr>
        <w:spacing w:after="0" w:line="240" w:lineRule="auto"/>
      </w:pPr>
      <w:r w:rsidRPr="0020417A">
        <w:t>to:</w:t>
      </w:r>
      <w:r>
        <w:t xml:space="preserve">  </w:t>
      </w:r>
      <w:r w:rsidRPr="0020417A">
        <w:rPr>
          <w:rFonts w:ascii="Segoe UI Emoji" w:hAnsi="Segoe UI Emoji" w:cs="Segoe UI Emoji"/>
        </w:rPr>
        <w:t>📧</w:t>
      </w:r>
      <w:r w:rsidRPr="0020417A">
        <w:t xml:space="preserve"> </w:t>
      </w:r>
      <w:r w:rsidRPr="0020417A">
        <w:rPr>
          <w:b/>
          <w:bCs/>
        </w:rPr>
        <w:t>biore.association@gmail.com</w:t>
      </w:r>
      <w:r w:rsidRPr="0020417A">
        <w:br/>
      </w:r>
      <w:r w:rsidRPr="0020417A">
        <w:rPr>
          <w:rFonts w:ascii="Segoe UI Emoji" w:hAnsi="Segoe UI Emoji" w:cs="Segoe UI Emoji"/>
        </w:rPr>
        <w:t>📧</w:t>
      </w:r>
      <w:r w:rsidRPr="0020417A">
        <w:t xml:space="preserve"> </w:t>
      </w:r>
      <w:r w:rsidRPr="0020417A">
        <w:rPr>
          <w:b/>
          <w:bCs/>
        </w:rPr>
        <w:t>vivek.rawal@remei-india.com</w:t>
      </w:r>
    </w:p>
    <w:p w14:paraId="48F77207" w14:textId="7997078E" w:rsidR="0020417A" w:rsidRPr="0020417A" w:rsidRDefault="0020417A" w:rsidP="0020417A">
      <w:r w:rsidRPr="0020417A">
        <w:t xml:space="preserve"> </w:t>
      </w:r>
    </w:p>
    <w:sectPr w:rsidR="0020417A" w:rsidRPr="00204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73FE"/>
    <w:multiLevelType w:val="multilevel"/>
    <w:tmpl w:val="3CDC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23782"/>
    <w:multiLevelType w:val="multilevel"/>
    <w:tmpl w:val="63C8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17DA2"/>
    <w:multiLevelType w:val="multilevel"/>
    <w:tmpl w:val="EBE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961A5"/>
    <w:multiLevelType w:val="multilevel"/>
    <w:tmpl w:val="7654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7579C"/>
    <w:multiLevelType w:val="multilevel"/>
    <w:tmpl w:val="7A8C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44321"/>
    <w:multiLevelType w:val="multilevel"/>
    <w:tmpl w:val="321C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D6D63"/>
    <w:multiLevelType w:val="multilevel"/>
    <w:tmpl w:val="7E3A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96963"/>
    <w:multiLevelType w:val="multilevel"/>
    <w:tmpl w:val="7E9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B10D5"/>
    <w:multiLevelType w:val="multilevel"/>
    <w:tmpl w:val="CBDC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D4E4D"/>
    <w:multiLevelType w:val="multilevel"/>
    <w:tmpl w:val="549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B03F9"/>
    <w:multiLevelType w:val="multilevel"/>
    <w:tmpl w:val="0CB2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E67DE2"/>
    <w:multiLevelType w:val="multilevel"/>
    <w:tmpl w:val="4FE0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943786">
    <w:abstractNumId w:val="5"/>
  </w:num>
  <w:num w:numId="2" w16cid:durableId="420494472">
    <w:abstractNumId w:val="0"/>
  </w:num>
  <w:num w:numId="3" w16cid:durableId="1327826870">
    <w:abstractNumId w:val="9"/>
  </w:num>
  <w:num w:numId="4" w16cid:durableId="816143735">
    <w:abstractNumId w:val="3"/>
  </w:num>
  <w:num w:numId="5" w16cid:durableId="1578637843">
    <w:abstractNumId w:val="11"/>
  </w:num>
  <w:num w:numId="6" w16cid:durableId="2041543063">
    <w:abstractNumId w:val="1"/>
  </w:num>
  <w:num w:numId="7" w16cid:durableId="1893804198">
    <w:abstractNumId w:val="7"/>
  </w:num>
  <w:num w:numId="8" w16cid:durableId="1295795566">
    <w:abstractNumId w:val="2"/>
  </w:num>
  <w:num w:numId="9" w16cid:durableId="631834583">
    <w:abstractNumId w:val="6"/>
  </w:num>
  <w:num w:numId="10" w16cid:durableId="1921786656">
    <w:abstractNumId w:val="10"/>
  </w:num>
  <w:num w:numId="11" w16cid:durableId="192424097">
    <w:abstractNumId w:val="4"/>
  </w:num>
  <w:num w:numId="12" w16cid:durableId="11218767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7A"/>
    <w:rsid w:val="00145E93"/>
    <w:rsid w:val="0020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CFBF"/>
  <w15:chartTrackingRefBased/>
  <w15:docId w15:val="{D4F2CE5F-7ACA-4CFA-B64B-C1333AF5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7A"/>
    <w:rPr>
      <w:szCs w:val="21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17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041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1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2550</Characters>
  <Application>Microsoft Office Word</Application>
  <DocSecurity>0</DocSecurity>
  <Lines>82</Lines>
  <Paragraphs>68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Rawal</dc:creator>
  <cp:keywords/>
  <dc:description/>
  <cp:lastModifiedBy>Vivek Rawal</cp:lastModifiedBy>
  <cp:revision>1</cp:revision>
  <dcterms:created xsi:type="dcterms:W3CDTF">2026-03-02T10:54:00Z</dcterms:created>
  <dcterms:modified xsi:type="dcterms:W3CDTF">2026-03-02T11:06:00Z</dcterms:modified>
</cp:coreProperties>
</file>